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6178" w14:textId="77777777" w:rsidR="004F6552" w:rsidRPr="009979A7" w:rsidRDefault="004F6552" w:rsidP="004F6552">
      <w:pPr>
        <w:rPr>
          <w:rFonts w:ascii="Noyh" w:hAnsi="Noyh"/>
          <w:color w:val="1F3864" w:themeColor="accent1" w:themeShade="80"/>
          <w:sz w:val="22"/>
          <w:szCs w:val="22"/>
        </w:rPr>
      </w:pPr>
    </w:p>
    <w:p w14:paraId="49AB1A60" w14:textId="77777777" w:rsidR="004F6552" w:rsidRPr="00B87716" w:rsidRDefault="004F6552" w:rsidP="004F6552">
      <w:pPr>
        <w:rPr>
          <w:rFonts w:ascii="Noyh" w:hAnsi="Noyh"/>
          <w:color w:val="3C91B0"/>
          <w:sz w:val="22"/>
          <w:szCs w:val="22"/>
        </w:rPr>
      </w:pPr>
      <w:r w:rsidRPr="00B87716">
        <w:rPr>
          <w:rFonts w:ascii="Noyh" w:hAnsi="Noyh"/>
          <w:color w:val="3C91B0"/>
          <w:sz w:val="22"/>
          <w:szCs w:val="22"/>
        </w:rPr>
        <w:t xml:space="preserve">Nascholing voor bedrijfsartsen: </w:t>
      </w:r>
    </w:p>
    <w:p w14:paraId="6A1CFED3" w14:textId="77777777" w:rsidR="00D044CC" w:rsidRDefault="00D044CC" w:rsidP="004F6552">
      <w:pPr>
        <w:rPr>
          <w:rFonts w:ascii="Noyh" w:hAnsi="Noyh"/>
          <w:color w:val="3C91B0"/>
          <w:sz w:val="22"/>
          <w:szCs w:val="22"/>
        </w:rPr>
      </w:pPr>
    </w:p>
    <w:p w14:paraId="441FB04A" w14:textId="7C552944" w:rsidR="004F6552" w:rsidRPr="00B87716" w:rsidRDefault="004F6552" w:rsidP="004F6552">
      <w:pPr>
        <w:rPr>
          <w:rFonts w:ascii="Noyh" w:hAnsi="Noyh"/>
          <w:color w:val="3C91B0"/>
          <w:sz w:val="22"/>
          <w:szCs w:val="22"/>
        </w:rPr>
      </w:pPr>
      <w:r w:rsidRPr="00B87716">
        <w:rPr>
          <w:rFonts w:ascii="Noyh" w:hAnsi="Noyh"/>
          <w:color w:val="3C91B0"/>
          <w:sz w:val="22"/>
          <w:szCs w:val="22"/>
        </w:rPr>
        <w:t>‘</w:t>
      </w:r>
      <w:r w:rsidRPr="00B87716">
        <w:rPr>
          <w:rFonts w:ascii="Noyh" w:hAnsi="Noyh"/>
          <w:caps/>
          <w:color w:val="3C91B0"/>
          <w:sz w:val="22"/>
          <w:szCs w:val="22"/>
        </w:rPr>
        <w:t>hoe werkt het in de overgang’</w:t>
      </w:r>
    </w:p>
    <w:p w14:paraId="0EBAD171" w14:textId="77777777" w:rsidR="004F6552" w:rsidRPr="009979A7" w:rsidRDefault="004F6552" w:rsidP="004F6552">
      <w:pPr>
        <w:rPr>
          <w:rFonts w:ascii="Noyh" w:hAnsi="Noyh"/>
          <w:color w:val="1F3864" w:themeColor="accent1" w:themeShade="80"/>
          <w:sz w:val="22"/>
          <w:szCs w:val="22"/>
        </w:rPr>
      </w:pPr>
    </w:p>
    <w:p w14:paraId="30018543"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1.1 Achtergronden</w:t>
      </w:r>
    </w:p>
    <w:p w14:paraId="4562316F" w14:textId="77777777"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Als het gaat om overgang, overgangsklachten en werk, is er vaak sprake van een kennislacune bij bedrijfsartsen. Steeds meer vrouwen die met de overgang te maken krijgen werken. De klachten die hiermee samenhangen hebben een effect op het werkvermogen en het verzuim van vrouwen. En daarnaast heeft werk soms ook invloed op de klachten.</w:t>
      </w:r>
    </w:p>
    <w:p w14:paraId="630F3DD9" w14:textId="77777777" w:rsidR="004F6552" w:rsidRPr="009979A7" w:rsidRDefault="004F6552" w:rsidP="004F6552">
      <w:pPr>
        <w:rPr>
          <w:rFonts w:ascii="Noyh" w:hAnsi="Noyh"/>
          <w:color w:val="1F3864" w:themeColor="accent1" w:themeShade="80"/>
          <w:sz w:val="22"/>
          <w:szCs w:val="22"/>
        </w:rPr>
      </w:pPr>
    </w:p>
    <w:p w14:paraId="5AC49575"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1.2 Doelgroepen</w:t>
      </w:r>
    </w:p>
    <w:p w14:paraId="42A68B5C" w14:textId="52F89FA7"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Deze nascholing is primair bedoeld voor de (bedrijfs</w:t>
      </w:r>
      <w:r>
        <w:rPr>
          <w:rFonts w:ascii="Noyh" w:hAnsi="Noyh"/>
          <w:color w:val="1F3864" w:themeColor="accent1" w:themeShade="80"/>
          <w:sz w:val="22"/>
          <w:szCs w:val="22"/>
        </w:rPr>
        <w:t>-</w:t>
      </w:r>
      <w:r w:rsidRPr="009979A7">
        <w:rPr>
          <w:rFonts w:ascii="Noyh" w:hAnsi="Noyh"/>
          <w:color w:val="1F3864" w:themeColor="accent1" w:themeShade="80"/>
          <w:sz w:val="22"/>
          <w:szCs w:val="22"/>
        </w:rPr>
        <w:t xml:space="preserve">)artsen van </w:t>
      </w:r>
      <w:r w:rsidR="008B36C0">
        <w:rPr>
          <w:rFonts w:ascii="Noyh" w:hAnsi="Noyh"/>
          <w:color w:val="1F3864" w:themeColor="accent1" w:themeShade="80"/>
          <w:sz w:val="22"/>
          <w:szCs w:val="22"/>
        </w:rPr>
        <w:t>de Ra</w:t>
      </w:r>
      <w:r w:rsidR="005F5CB1">
        <w:rPr>
          <w:rFonts w:ascii="Noyh" w:hAnsi="Noyh"/>
          <w:color w:val="1F3864" w:themeColor="accent1" w:themeShade="80"/>
          <w:sz w:val="22"/>
          <w:szCs w:val="22"/>
        </w:rPr>
        <w:t>bobank</w:t>
      </w:r>
      <w:r w:rsidRPr="009979A7">
        <w:rPr>
          <w:rFonts w:ascii="Noyh" w:hAnsi="Noyh"/>
          <w:color w:val="1F3864" w:themeColor="accent1" w:themeShade="80"/>
          <w:sz w:val="22"/>
          <w:szCs w:val="22"/>
        </w:rPr>
        <w:t>.</w:t>
      </w:r>
    </w:p>
    <w:p w14:paraId="0A3D2ACE" w14:textId="77777777" w:rsidR="004F6552" w:rsidRPr="009979A7" w:rsidRDefault="004F6552" w:rsidP="004F6552">
      <w:pPr>
        <w:rPr>
          <w:rFonts w:ascii="Noyh" w:hAnsi="Noyh"/>
          <w:color w:val="1F3864" w:themeColor="accent1" w:themeShade="80"/>
          <w:sz w:val="22"/>
          <w:szCs w:val="22"/>
        </w:rPr>
      </w:pPr>
    </w:p>
    <w:p w14:paraId="679FE744"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1.3 Leerdoelen</w:t>
      </w:r>
    </w:p>
    <w:p w14:paraId="7C781203" w14:textId="77777777"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Voor deze nascholing gelden de volgende leerdoelen:</w:t>
      </w:r>
    </w:p>
    <w:p w14:paraId="2557F607" w14:textId="77777777" w:rsidR="004F6552" w:rsidRP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Adequaat kunnen diagnosticeren van overgangsklachten</w:t>
      </w:r>
    </w:p>
    <w:p w14:paraId="3A86249D" w14:textId="77777777" w:rsidR="004F6552" w:rsidRP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Signaleren van overgangsklachten tijdens het consult en op de werkvloer</w:t>
      </w:r>
    </w:p>
    <w:p w14:paraId="47376C1C" w14:textId="77777777" w:rsidR="004F6552" w:rsidRPr="004F6552" w:rsidRDefault="004F6552" w:rsidP="004F6552">
      <w:pPr>
        <w:ind w:left="708"/>
        <w:rPr>
          <w:rFonts w:ascii="Noyh" w:hAnsi="Noyh"/>
          <w:color w:val="1F3864" w:themeColor="accent1" w:themeShade="80"/>
          <w:sz w:val="22"/>
          <w:szCs w:val="22"/>
        </w:rPr>
      </w:pPr>
      <w:r w:rsidRPr="004F6552">
        <w:rPr>
          <w:rFonts w:ascii="Noyh" w:hAnsi="Noyh"/>
          <w:color w:val="1F3864" w:themeColor="accent1" w:themeShade="80"/>
          <w:sz w:val="22"/>
          <w:szCs w:val="22"/>
        </w:rPr>
        <w:t xml:space="preserve">• Inzicht krijgen in de gezondheidsrisico`s op langer termijn </w:t>
      </w:r>
    </w:p>
    <w:p w14:paraId="343B362E" w14:textId="77777777" w:rsidR="004F6552" w:rsidRP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Uitleg en informatie kunnen geven over leefstijlaanpassingen en behandeling.</w:t>
      </w:r>
    </w:p>
    <w:p w14:paraId="5E9A4B8A" w14:textId="77777777" w:rsid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Kennis hebben van verwijsmogelijkheden voor nadere behandeling.</w:t>
      </w:r>
    </w:p>
    <w:p w14:paraId="6050DC40" w14:textId="77777777" w:rsidR="004F6552" w:rsidRPr="009979A7" w:rsidRDefault="004F6552" w:rsidP="004F6552">
      <w:pPr>
        <w:ind w:firstLine="708"/>
        <w:rPr>
          <w:rFonts w:ascii="Noyh" w:hAnsi="Noyh"/>
          <w:color w:val="1F3864" w:themeColor="accent1" w:themeShade="80"/>
          <w:sz w:val="22"/>
          <w:szCs w:val="22"/>
        </w:rPr>
      </w:pPr>
    </w:p>
    <w:p w14:paraId="191E6B67"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1.4 Opzet Training</w:t>
      </w:r>
    </w:p>
    <w:p w14:paraId="3F0B1454" w14:textId="77777777" w:rsidR="004F6552"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Deze nascholing wordt gegeven in de vorm van een interactieve cursus, waarbij volop de gelegenheid zal bestaan voor het stellen van vragen of het inbrengen van casuïstiek.</w:t>
      </w:r>
    </w:p>
    <w:p w14:paraId="2717A00D" w14:textId="77777777" w:rsidR="004F6552" w:rsidRDefault="004F6552" w:rsidP="004F6552">
      <w:pPr>
        <w:rPr>
          <w:rFonts w:ascii="Noyh" w:hAnsi="Noyh"/>
          <w:color w:val="1F3864" w:themeColor="accent1" w:themeShade="80"/>
          <w:sz w:val="22"/>
          <w:szCs w:val="22"/>
        </w:rPr>
      </w:pPr>
    </w:p>
    <w:p w14:paraId="5063DBC7" w14:textId="77777777" w:rsidR="003B7D76" w:rsidRDefault="004F6552" w:rsidP="004F6552">
      <w:pPr>
        <w:rPr>
          <w:rFonts w:ascii="Noyh" w:hAnsi="Noyh"/>
          <w:color w:val="1F3864" w:themeColor="accent1" w:themeShade="80"/>
          <w:sz w:val="22"/>
          <w:szCs w:val="22"/>
          <w:u w:val="single"/>
        </w:rPr>
      </w:pPr>
      <w:r w:rsidRPr="004F6552">
        <w:rPr>
          <w:rFonts w:ascii="Noyh" w:hAnsi="Noyh"/>
          <w:color w:val="1F3864" w:themeColor="accent1" w:themeShade="80"/>
          <w:sz w:val="22"/>
          <w:szCs w:val="22"/>
          <w:u w:val="single"/>
        </w:rPr>
        <w:t>1.4.1 Programma</w:t>
      </w:r>
    </w:p>
    <w:p w14:paraId="21F33EF5" w14:textId="1C76721A" w:rsidR="003B7D76" w:rsidRDefault="00395C6B" w:rsidP="004F6552">
      <w:pPr>
        <w:rPr>
          <w:rFonts w:ascii="Noyh" w:hAnsi="Noyh"/>
          <w:color w:val="1F3864" w:themeColor="accent1" w:themeShade="80"/>
          <w:sz w:val="22"/>
          <w:szCs w:val="22"/>
        </w:rPr>
      </w:pPr>
      <w:r>
        <w:rPr>
          <w:rFonts w:ascii="Noyh" w:hAnsi="Noyh"/>
          <w:color w:val="1F3864" w:themeColor="accent1" w:themeShade="80"/>
          <w:sz w:val="22"/>
          <w:szCs w:val="22"/>
        </w:rPr>
        <w:t>14</w:t>
      </w:r>
      <w:r w:rsidR="003B7D76">
        <w:rPr>
          <w:rFonts w:ascii="Noyh" w:hAnsi="Noyh"/>
          <w:color w:val="1F3864" w:themeColor="accent1" w:themeShade="80"/>
          <w:sz w:val="22"/>
          <w:szCs w:val="22"/>
        </w:rPr>
        <w:t>:00-1</w:t>
      </w:r>
      <w:r>
        <w:rPr>
          <w:rFonts w:ascii="Noyh" w:hAnsi="Noyh"/>
          <w:color w:val="1F3864" w:themeColor="accent1" w:themeShade="80"/>
          <w:sz w:val="22"/>
          <w:szCs w:val="22"/>
        </w:rPr>
        <w:t>5</w:t>
      </w:r>
      <w:r w:rsidR="003B7D76">
        <w:rPr>
          <w:rFonts w:ascii="Noyh" w:hAnsi="Noyh"/>
          <w:color w:val="1F3864" w:themeColor="accent1" w:themeShade="80"/>
          <w:sz w:val="22"/>
          <w:szCs w:val="22"/>
        </w:rPr>
        <w:t>:00 biologie van de overgang met fysieke en mentale klachten</w:t>
      </w:r>
    </w:p>
    <w:p w14:paraId="0BC2F26E" w14:textId="7240655F" w:rsidR="003B7D76" w:rsidRDefault="003B7D76" w:rsidP="004F6552">
      <w:pPr>
        <w:rPr>
          <w:rFonts w:ascii="Noyh" w:hAnsi="Noyh"/>
          <w:color w:val="1F3864" w:themeColor="accent1" w:themeShade="80"/>
          <w:sz w:val="22"/>
          <w:szCs w:val="22"/>
        </w:rPr>
      </w:pPr>
      <w:r>
        <w:rPr>
          <w:rFonts w:ascii="Noyh" w:hAnsi="Noyh"/>
          <w:color w:val="1F3864" w:themeColor="accent1" w:themeShade="80"/>
          <w:sz w:val="22"/>
          <w:szCs w:val="22"/>
        </w:rPr>
        <w:t>1</w:t>
      </w:r>
      <w:r w:rsidR="00395C6B">
        <w:rPr>
          <w:rFonts w:ascii="Noyh" w:hAnsi="Noyh"/>
          <w:color w:val="1F3864" w:themeColor="accent1" w:themeShade="80"/>
          <w:sz w:val="22"/>
          <w:szCs w:val="22"/>
        </w:rPr>
        <w:t>5:15</w:t>
      </w:r>
      <w:r>
        <w:rPr>
          <w:rFonts w:ascii="Noyh" w:hAnsi="Noyh"/>
          <w:color w:val="1F3864" w:themeColor="accent1" w:themeShade="80"/>
          <w:sz w:val="22"/>
          <w:szCs w:val="22"/>
        </w:rPr>
        <w:t>-1</w:t>
      </w:r>
      <w:r w:rsidR="00395C6B">
        <w:rPr>
          <w:rFonts w:ascii="Noyh" w:hAnsi="Noyh"/>
          <w:color w:val="1F3864" w:themeColor="accent1" w:themeShade="80"/>
          <w:sz w:val="22"/>
          <w:szCs w:val="22"/>
        </w:rPr>
        <w:t>6:00</w:t>
      </w:r>
      <w:r>
        <w:rPr>
          <w:rFonts w:ascii="Noyh" w:hAnsi="Noyh"/>
          <w:color w:val="1F3864" w:themeColor="accent1" w:themeShade="80"/>
          <w:sz w:val="22"/>
          <w:szCs w:val="22"/>
        </w:rPr>
        <w:t xml:space="preserve"> diagnostiek en behandeling van overgangsklachten</w:t>
      </w:r>
    </w:p>
    <w:p w14:paraId="50DB2CFE" w14:textId="167F931A" w:rsidR="003B7D76" w:rsidRDefault="003B7D76" w:rsidP="004F6552">
      <w:pPr>
        <w:rPr>
          <w:rFonts w:ascii="Noyh" w:hAnsi="Noyh"/>
          <w:color w:val="1F3864" w:themeColor="accent1" w:themeShade="80"/>
          <w:sz w:val="22"/>
          <w:szCs w:val="22"/>
        </w:rPr>
      </w:pPr>
      <w:r>
        <w:rPr>
          <w:rFonts w:ascii="Noyh" w:hAnsi="Noyh"/>
          <w:color w:val="1F3864" w:themeColor="accent1" w:themeShade="80"/>
          <w:sz w:val="22"/>
          <w:szCs w:val="22"/>
        </w:rPr>
        <w:t>1</w:t>
      </w:r>
      <w:r w:rsidR="00395C6B">
        <w:rPr>
          <w:rFonts w:ascii="Noyh" w:hAnsi="Noyh"/>
          <w:color w:val="1F3864" w:themeColor="accent1" w:themeShade="80"/>
          <w:sz w:val="22"/>
          <w:szCs w:val="22"/>
        </w:rPr>
        <w:t>6</w:t>
      </w:r>
      <w:r>
        <w:rPr>
          <w:rFonts w:ascii="Noyh" w:hAnsi="Noyh"/>
          <w:color w:val="1F3864" w:themeColor="accent1" w:themeShade="80"/>
          <w:sz w:val="22"/>
          <w:szCs w:val="22"/>
        </w:rPr>
        <w:t>:15-1</w:t>
      </w:r>
      <w:r w:rsidR="00395C6B">
        <w:rPr>
          <w:rFonts w:ascii="Noyh" w:hAnsi="Noyh"/>
          <w:color w:val="1F3864" w:themeColor="accent1" w:themeShade="80"/>
          <w:sz w:val="22"/>
          <w:szCs w:val="22"/>
        </w:rPr>
        <w:t>7</w:t>
      </w:r>
      <w:r>
        <w:rPr>
          <w:rFonts w:ascii="Noyh" w:hAnsi="Noyh"/>
          <w:color w:val="1F3864" w:themeColor="accent1" w:themeShade="80"/>
          <w:sz w:val="22"/>
          <w:szCs w:val="22"/>
        </w:rPr>
        <w:t>:00 werk en de overgang</w:t>
      </w:r>
    </w:p>
    <w:p w14:paraId="0359ED9C" w14:textId="77777777" w:rsidR="003B7D76" w:rsidRPr="003B7D76" w:rsidRDefault="003B7D76" w:rsidP="004F6552">
      <w:pPr>
        <w:rPr>
          <w:rFonts w:ascii="Noyh" w:hAnsi="Noyh"/>
          <w:color w:val="1F3864" w:themeColor="accent1" w:themeShade="80"/>
          <w:sz w:val="22"/>
          <w:szCs w:val="22"/>
        </w:rPr>
      </w:pPr>
    </w:p>
    <w:p w14:paraId="2BFD2B47"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1.5 Literatuur</w:t>
      </w:r>
    </w:p>
    <w:p w14:paraId="2A71FFB6" w14:textId="77777777"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De volgende literatuur wordt t.b.v. deze nascholing aangereikt:</w:t>
      </w:r>
    </w:p>
    <w:p w14:paraId="726BB671" w14:textId="77777777" w:rsidR="004F6552" w:rsidRPr="003B7D76" w:rsidRDefault="004F6552" w:rsidP="003B7D76">
      <w:pPr>
        <w:pStyle w:val="Lijstalinea"/>
        <w:numPr>
          <w:ilvl w:val="0"/>
          <w:numId w:val="3"/>
        </w:numPr>
        <w:rPr>
          <w:rFonts w:ascii="Noyh" w:hAnsi="Noyh"/>
          <w:color w:val="1F3864" w:themeColor="accent1" w:themeShade="80"/>
          <w:sz w:val="22"/>
          <w:szCs w:val="22"/>
          <w:lang w:val="en-US"/>
        </w:rPr>
      </w:pPr>
      <w:r w:rsidRPr="003B7D76">
        <w:rPr>
          <w:rFonts w:ascii="Noyh" w:hAnsi="Noyh"/>
          <w:color w:val="1F3864" w:themeColor="accent1" w:themeShade="80"/>
          <w:sz w:val="22"/>
          <w:szCs w:val="22"/>
          <w:lang w:val="en-US"/>
        </w:rPr>
        <w:t>Greene’s Climateric Scale.</w:t>
      </w:r>
    </w:p>
    <w:p w14:paraId="2942F846" w14:textId="77777777" w:rsidR="004F6552" w:rsidRPr="003B7D76" w:rsidRDefault="004F6552" w:rsidP="003B7D76">
      <w:pPr>
        <w:pStyle w:val="Lijstalinea"/>
        <w:numPr>
          <w:ilvl w:val="0"/>
          <w:numId w:val="3"/>
        </w:numPr>
        <w:rPr>
          <w:rFonts w:ascii="Noyh" w:hAnsi="Noyh"/>
          <w:color w:val="1F3864" w:themeColor="accent1" w:themeShade="80"/>
          <w:sz w:val="22"/>
          <w:szCs w:val="22"/>
          <w:lang w:val="en-US"/>
        </w:rPr>
      </w:pPr>
      <w:r w:rsidRPr="003B7D76">
        <w:rPr>
          <w:rFonts w:ascii="Noyh" w:hAnsi="Noyh"/>
          <w:color w:val="1F3864" w:themeColor="accent1" w:themeShade="80"/>
          <w:sz w:val="22"/>
          <w:szCs w:val="22"/>
          <w:lang w:val="en-US"/>
        </w:rPr>
        <w:t>Nice Guideline Menopause</w:t>
      </w:r>
      <w:r w:rsidR="003B7D76">
        <w:rPr>
          <w:rFonts w:ascii="Noyh" w:hAnsi="Noyh"/>
          <w:color w:val="1F3864" w:themeColor="accent1" w:themeShade="80"/>
          <w:sz w:val="22"/>
          <w:szCs w:val="22"/>
          <w:lang w:val="en-US"/>
        </w:rPr>
        <w:t xml:space="preserve"> 2015</w:t>
      </w:r>
    </w:p>
    <w:p w14:paraId="093B6C93" w14:textId="77777777" w:rsidR="004F6552" w:rsidRPr="003B7D76" w:rsidRDefault="004F6552" w:rsidP="003B7D76">
      <w:pPr>
        <w:pStyle w:val="Lijstalinea"/>
        <w:numPr>
          <w:ilvl w:val="0"/>
          <w:numId w:val="3"/>
        </w:numPr>
        <w:rPr>
          <w:rFonts w:ascii="Noyh" w:hAnsi="Noyh"/>
          <w:color w:val="1F3864" w:themeColor="accent1" w:themeShade="80"/>
          <w:sz w:val="22"/>
          <w:szCs w:val="22"/>
        </w:rPr>
      </w:pPr>
      <w:r w:rsidRPr="003B7D76">
        <w:rPr>
          <w:rFonts w:ascii="Noyh" w:hAnsi="Noyh"/>
          <w:color w:val="1F3864" w:themeColor="accent1" w:themeShade="80"/>
          <w:sz w:val="22"/>
          <w:szCs w:val="22"/>
        </w:rPr>
        <w:t>NVO</w:t>
      </w:r>
      <w:r w:rsidR="003B7D76" w:rsidRPr="003B7D76">
        <w:rPr>
          <w:rFonts w:ascii="Noyh" w:hAnsi="Noyh"/>
          <w:color w:val="1F3864" w:themeColor="accent1" w:themeShade="80"/>
          <w:sz w:val="22"/>
          <w:szCs w:val="22"/>
        </w:rPr>
        <w:t xml:space="preserve">G </w:t>
      </w:r>
      <w:r w:rsidRPr="003B7D76">
        <w:rPr>
          <w:rFonts w:ascii="Noyh" w:hAnsi="Noyh"/>
          <w:color w:val="1F3864" w:themeColor="accent1" w:themeShade="80"/>
          <w:sz w:val="22"/>
          <w:szCs w:val="22"/>
        </w:rPr>
        <w:t>richtlijn Overgang</w:t>
      </w:r>
      <w:r w:rsidR="003B7D76">
        <w:rPr>
          <w:rFonts w:ascii="Noyh" w:hAnsi="Noyh"/>
          <w:color w:val="1F3864" w:themeColor="accent1" w:themeShade="80"/>
          <w:sz w:val="22"/>
          <w:szCs w:val="22"/>
        </w:rPr>
        <w:t xml:space="preserve"> 2020</w:t>
      </w:r>
    </w:p>
    <w:p w14:paraId="47C10065" w14:textId="77777777" w:rsidR="003B7D76" w:rsidRPr="003B7D76" w:rsidRDefault="003B7D76" w:rsidP="003B7D76">
      <w:pPr>
        <w:pStyle w:val="Lijstalinea"/>
        <w:numPr>
          <w:ilvl w:val="0"/>
          <w:numId w:val="2"/>
        </w:numPr>
        <w:rPr>
          <w:rFonts w:ascii="Noyh" w:hAnsi="Noyh"/>
          <w:color w:val="1F3864" w:themeColor="accent1" w:themeShade="80"/>
          <w:sz w:val="22"/>
          <w:szCs w:val="22"/>
        </w:rPr>
      </w:pPr>
      <w:r>
        <w:rPr>
          <w:rFonts w:ascii="Noyh" w:hAnsi="Noyh"/>
          <w:color w:val="1F3864" w:themeColor="accent1" w:themeShade="80"/>
          <w:sz w:val="22"/>
          <w:szCs w:val="22"/>
        </w:rPr>
        <w:t>Werken aan de overgang, literatuurstudy Coronell institute AMC 2019</w:t>
      </w:r>
    </w:p>
    <w:p w14:paraId="5238F6FC" w14:textId="77777777" w:rsidR="004F6552" w:rsidRPr="009979A7" w:rsidRDefault="004F6552" w:rsidP="004F6552">
      <w:pPr>
        <w:rPr>
          <w:rFonts w:ascii="Noyh" w:hAnsi="Noyh"/>
          <w:color w:val="1F3864" w:themeColor="accent1" w:themeShade="80"/>
          <w:sz w:val="22"/>
          <w:szCs w:val="22"/>
        </w:rPr>
      </w:pPr>
    </w:p>
    <w:p w14:paraId="6E6808A5"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u w:val="single"/>
        </w:rPr>
      </w:pPr>
      <w:r w:rsidRPr="009979A7">
        <w:rPr>
          <w:rFonts w:ascii="Noyh" w:hAnsi="Noyh" w:cs="Times New Roman"/>
          <w:color w:val="1F3864" w:themeColor="accent1" w:themeShade="80"/>
          <w:sz w:val="22"/>
          <w:szCs w:val="22"/>
          <w:u w:val="single"/>
        </w:rPr>
        <w:t>1.6 Toetsing</w:t>
      </w:r>
    </w:p>
    <w:p w14:paraId="28209FBF" w14:textId="77777777" w:rsidR="004F6552"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Times New Roman"/>
          <w:color w:val="1F3864" w:themeColor="accent1" w:themeShade="80"/>
          <w:sz w:val="22"/>
          <w:szCs w:val="22"/>
        </w:rPr>
        <w:t xml:space="preserve">Ten behoeve van deze nascholing wordt er gebruik gemaakt van een toets </w:t>
      </w:r>
      <w:r>
        <w:rPr>
          <w:rFonts w:ascii="Noyh" w:hAnsi="Noyh" w:cs="Times New Roman"/>
          <w:color w:val="1F3864" w:themeColor="accent1" w:themeShade="80"/>
          <w:sz w:val="22"/>
          <w:szCs w:val="22"/>
        </w:rPr>
        <w:t>met 10 vragen waarbij de leerdoelen worden getoetst.</w:t>
      </w:r>
    </w:p>
    <w:p w14:paraId="069D3B55"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p>
    <w:p w14:paraId="58F9D04B"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Times New Roman"/>
          <w:color w:val="1F3864" w:themeColor="accent1" w:themeShade="80"/>
          <w:sz w:val="22"/>
          <w:szCs w:val="22"/>
          <w:u w:val="single"/>
        </w:rPr>
        <w:t xml:space="preserve">1.7 Competenties (i.v.m. accreditatie) </w:t>
      </w:r>
    </w:p>
    <w:p w14:paraId="02B8B1BB"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EZˇ"/>
          <w:color w:val="1F3864" w:themeColor="accent1" w:themeShade="80"/>
          <w:sz w:val="22"/>
          <w:szCs w:val="22"/>
        </w:rPr>
        <w:t xml:space="preserve">· </w:t>
      </w:r>
      <w:r w:rsidRPr="009979A7">
        <w:rPr>
          <w:rFonts w:ascii="Noyh" w:hAnsi="Noyh" w:cs="Times New Roman"/>
          <w:color w:val="1F3864" w:themeColor="accent1" w:themeShade="80"/>
          <w:sz w:val="22"/>
          <w:szCs w:val="22"/>
        </w:rPr>
        <w:t xml:space="preserve">Medisch Handelen </w:t>
      </w:r>
      <w:r w:rsidRPr="009979A7">
        <w:rPr>
          <w:rFonts w:ascii="Noyh" w:hAnsi="Noyh" w:cs="Times New Roman"/>
          <w:color w:val="1F3864" w:themeColor="accent1" w:themeShade="80"/>
          <w:sz w:val="22"/>
          <w:szCs w:val="22"/>
        </w:rPr>
        <w:tab/>
      </w:r>
      <w:r w:rsidRPr="009979A7">
        <w:rPr>
          <w:rFonts w:ascii="Noyh" w:hAnsi="Noyh" w:cs="Times New Roman"/>
          <w:color w:val="1F3864" w:themeColor="accent1" w:themeShade="80"/>
          <w:sz w:val="22"/>
          <w:szCs w:val="22"/>
        </w:rPr>
        <w:tab/>
      </w:r>
      <w:r w:rsidRPr="009979A7">
        <w:rPr>
          <w:rFonts w:ascii="Noyh" w:hAnsi="Noyh" w:cs="Times New Roman"/>
          <w:color w:val="1F3864" w:themeColor="accent1" w:themeShade="80"/>
          <w:sz w:val="22"/>
          <w:szCs w:val="22"/>
        </w:rPr>
        <w:tab/>
        <w:t>40%</w:t>
      </w:r>
    </w:p>
    <w:p w14:paraId="0286F64E"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EZˇ"/>
          <w:color w:val="1F3864" w:themeColor="accent1" w:themeShade="80"/>
          <w:sz w:val="22"/>
          <w:szCs w:val="22"/>
        </w:rPr>
        <w:t xml:space="preserve">· </w:t>
      </w:r>
      <w:r w:rsidRPr="009979A7">
        <w:rPr>
          <w:rFonts w:ascii="Noyh" w:hAnsi="Noyh" w:cs="Times New Roman"/>
          <w:color w:val="1F3864" w:themeColor="accent1" w:themeShade="80"/>
          <w:sz w:val="22"/>
          <w:szCs w:val="22"/>
        </w:rPr>
        <w:t xml:space="preserve">Maatschappelijk handelen en preventie </w:t>
      </w:r>
      <w:r w:rsidRPr="009979A7">
        <w:rPr>
          <w:rFonts w:ascii="Noyh" w:hAnsi="Noyh" w:cs="Times New Roman"/>
          <w:color w:val="1F3864" w:themeColor="accent1" w:themeShade="80"/>
          <w:sz w:val="22"/>
          <w:szCs w:val="22"/>
        </w:rPr>
        <w:tab/>
        <w:t>20%</w:t>
      </w:r>
    </w:p>
    <w:p w14:paraId="0EA3B7A1"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EZˇ"/>
          <w:color w:val="1F3864" w:themeColor="accent1" w:themeShade="80"/>
          <w:sz w:val="22"/>
          <w:szCs w:val="22"/>
        </w:rPr>
        <w:t xml:space="preserve">· </w:t>
      </w:r>
      <w:r w:rsidRPr="009979A7">
        <w:rPr>
          <w:rFonts w:ascii="Noyh" w:hAnsi="Noyh" w:cs="Times New Roman"/>
          <w:color w:val="1F3864" w:themeColor="accent1" w:themeShade="80"/>
          <w:sz w:val="22"/>
          <w:szCs w:val="22"/>
        </w:rPr>
        <w:t xml:space="preserve">Professionaliteit en Kwaliteit </w:t>
      </w:r>
      <w:r w:rsidRPr="009979A7">
        <w:rPr>
          <w:rFonts w:ascii="Noyh" w:hAnsi="Noyh" w:cs="Times New Roman"/>
          <w:color w:val="1F3864" w:themeColor="accent1" w:themeShade="80"/>
          <w:sz w:val="22"/>
          <w:szCs w:val="22"/>
        </w:rPr>
        <w:tab/>
      </w:r>
      <w:r w:rsidRPr="009979A7">
        <w:rPr>
          <w:rFonts w:ascii="Noyh" w:hAnsi="Noyh" w:cs="Times New Roman"/>
          <w:color w:val="1F3864" w:themeColor="accent1" w:themeShade="80"/>
          <w:sz w:val="22"/>
          <w:szCs w:val="22"/>
        </w:rPr>
        <w:tab/>
        <w:t>40%</w:t>
      </w:r>
    </w:p>
    <w:p w14:paraId="39C842D2"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p>
    <w:p w14:paraId="52B8525D"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u w:val="single"/>
        </w:rPr>
      </w:pPr>
      <w:r w:rsidRPr="009979A7">
        <w:rPr>
          <w:rFonts w:ascii="Noyh" w:hAnsi="Noyh" w:cs="Times New Roman"/>
          <w:color w:val="1F3864" w:themeColor="accent1" w:themeShade="80"/>
          <w:sz w:val="22"/>
          <w:szCs w:val="22"/>
          <w:u w:val="single"/>
        </w:rPr>
        <w:t>1.8 Aantal deelnemers</w:t>
      </w:r>
    </w:p>
    <w:p w14:paraId="043CACE1" w14:textId="77777777" w:rsidR="005C6235" w:rsidRDefault="004F6552">
      <w:pPr>
        <w:rPr>
          <w:rFonts w:ascii="Noyh" w:hAnsi="Noyh" w:cs="Times New Roman"/>
          <w:color w:val="1F3864" w:themeColor="accent1" w:themeShade="80"/>
          <w:sz w:val="22"/>
          <w:szCs w:val="22"/>
        </w:rPr>
      </w:pPr>
      <w:r>
        <w:rPr>
          <w:rFonts w:ascii="Noyh" w:hAnsi="Noyh" w:cs="Times New Roman"/>
          <w:color w:val="1F3864" w:themeColor="accent1" w:themeShade="80"/>
          <w:sz w:val="22"/>
          <w:szCs w:val="22"/>
        </w:rPr>
        <w:t>15-20 deelnemers ivm online scholing</w:t>
      </w:r>
    </w:p>
    <w:p w14:paraId="26C0E737" w14:textId="77777777" w:rsidR="004F6552" w:rsidRDefault="004F6552">
      <w:pPr>
        <w:rPr>
          <w:rFonts w:ascii="Noyh" w:hAnsi="Noyh" w:cs="Times New Roman"/>
          <w:color w:val="1F3864" w:themeColor="accent1" w:themeShade="80"/>
          <w:sz w:val="22"/>
          <w:szCs w:val="22"/>
        </w:rPr>
      </w:pPr>
    </w:p>
    <w:p w14:paraId="5172FAA7" w14:textId="77777777" w:rsidR="004F6552" w:rsidRDefault="004F6552">
      <w:pPr>
        <w:rPr>
          <w:rFonts w:ascii="Noyh" w:hAnsi="Noyh" w:cs="Times New Roman"/>
          <w:color w:val="1F3864" w:themeColor="accent1" w:themeShade="80"/>
          <w:sz w:val="22"/>
          <w:szCs w:val="22"/>
          <w:u w:val="single"/>
        </w:rPr>
      </w:pPr>
      <w:r w:rsidRPr="004F6552">
        <w:rPr>
          <w:rFonts w:ascii="Noyh" w:hAnsi="Noyh" w:cs="Times New Roman"/>
          <w:color w:val="1F3864" w:themeColor="accent1" w:themeShade="80"/>
          <w:sz w:val="22"/>
          <w:szCs w:val="22"/>
          <w:u w:val="single"/>
        </w:rPr>
        <w:lastRenderedPageBreak/>
        <w:t>1.9 Cursus leiding</w:t>
      </w:r>
    </w:p>
    <w:p w14:paraId="4306B20F" w14:textId="77777777" w:rsidR="004F6552" w:rsidRPr="003B7D76" w:rsidRDefault="004F6552">
      <w:r w:rsidRPr="003B7D76">
        <w:rPr>
          <w:rFonts w:ascii="Noyh" w:hAnsi="Noyh" w:cs="Times New Roman"/>
          <w:color w:val="1F3864" w:themeColor="accent1" w:themeShade="80"/>
          <w:sz w:val="22"/>
          <w:szCs w:val="22"/>
        </w:rPr>
        <w:t>De workshop wordt gegeven door dr</w:t>
      </w:r>
      <w:r w:rsidR="003B7D76">
        <w:rPr>
          <w:rFonts w:ascii="Noyh" w:hAnsi="Noyh" w:cs="Times New Roman"/>
          <w:color w:val="1F3864" w:themeColor="accent1" w:themeShade="80"/>
          <w:sz w:val="22"/>
          <w:szCs w:val="22"/>
        </w:rPr>
        <w:t xml:space="preserve">. </w:t>
      </w:r>
      <w:r w:rsidRPr="003B7D76">
        <w:rPr>
          <w:rFonts w:ascii="Noyh" w:hAnsi="Noyh" w:cs="Times New Roman"/>
          <w:color w:val="1F3864" w:themeColor="accent1" w:themeShade="80"/>
          <w:sz w:val="22"/>
          <w:szCs w:val="22"/>
        </w:rPr>
        <w:t>M.H.</w:t>
      </w:r>
      <w:r w:rsidR="003B7D76">
        <w:rPr>
          <w:rFonts w:ascii="Noyh" w:hAnsi="Noyh" w:cs="Times New Roman"/>
          <w:color w:val="1F3864" w:themeColor="accent1" w:themeShade="80"/>
          <w:sz w:val="22"/>
          <w:szCs w:val="22"/>
        </w:rPr>
        <w:t xml:space="preserve"> </w:t>
      </w:r>
      <w:r w:rsidRPr="003B7D76">
        <w:rPr>
          <w:rFonts w:ascii="Noyh" w:hAnsi="Noyh" w:cs="Times New Roman"/>
          <w:color w:val="1F3864" w:themeColor="accent1" w:themeShade="80"/>
          <w:sz w:val="22"/>
          <w:szCs w:val="22"/>
        </w:rPr>
        <w:t xml:space="preserve">Kerkhof gynaecoloog BIG </w:t>
      </w:r>
      <w:r w:rsidR="003B7D76" w:rsidRPr="003B7D76">
        <w:rPr>
          <w:rFonts w:ascii="Noyh" w:hAnsi="Noyh" w:cs="Times New Roman"/>
          <w:color w:val="1F3864" w:themeColor="accent1" w:themeShade="80"/>
          <w:sz w:val="22"/>
          <w:szCs w:val="22"/>
        </w:rPr>
        <w:t>69054197601</w:t>
      </w:r>
      <w:r w:rsidR="003B7D76">
        <w:rPr>
          <w:rFonts w:ascii="Noyh" w:hAnsi="Noyh" w:cs="Times New Roman"/>
          <w:color w:val="1F3864" w:themeColor="accent1" w:themeShade="80"/>
          <w:sz w:val="22"/>
          <w:szCs w:val="22"/>
        </w:rPr>
        <w:t xml:space="preserve">, Curilion, expertisecentrum voor vrouwenzorg, Haarlem. </w:t>
      </w:r>
    </w:p>
    <w:sectPr w:rsidR="004F6552" w:rsidRPr="003B7D76" w:rsidSect="005353B0">
      <w:headerReference w:type="default" r:id="rId10"/>
      <w:footerReference w:type="even" r:id="rId11"/>
      <w:footerReference w:type="default" r:id="rId12"/>
      <w:pgSz w:w="11900" w:h="16840"/>
      <w:pgMar w:top="1702" w:right="1418" w:bottom="1418"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7543" w14:textId="77777777" w:rsidR="00FF27E5" w:rsidRDefault="00FF27E5" w:rsidP="00D044CC">
      <w:r>
        <w:separator/>
      </w:r>
    </w:p>
  </w:endnote>
  <w:endnote w:type="continuationSeparator" w:id="0">
    <w:p w14:paraId="23EE35B9" w14:textId="77777777" w:rsidR="00FF27E5" w:rsidRDefault="00FF27E5" w:rsidP="00D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yh">
    <w:altName w:val="Calibri"/>
    <w:panose1 w:val="00000000000000000000"/>
    <w:charset w:val="4D"/>
    <w:family w:val="auto"/>
    <w:notTrueType/>
    <w:pitch w:val="variable"/>
    <w:sig w:usb0="800000AF" w:usb1="4000204A" w:usb2="00000000" w:usb3="00000000" w:csb0="00000093" w:csb1="00000000"/>
  </w:font>
  <w:font w:name="–]EZˇ">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E2C4" w14:textId="77777777" w:rsidR="00915A54" w:rsidRDefault="00D044CC" w:rsidP="003421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65421C" w14:textId="77777777" w:rsidR="00915A54" w:rsidRDefault="00FF27E5" w:rsidP="003421E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6439" w14:textId="77777777" w:rsidR="00915A54" w:rsidRDefault="00D044CC" w:rsidP="003421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78BAA4FD" w14:textId="77777777" w:rsidR="00915A54" w:rsidRDefault="00FF27E5" w:rsidP="003421E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214B" w14:textId="77777777" w:rsidR="00FF27E5" w:rsidRDefault="00FF27E5" w:rsidP="00D044CC">
      <w:r>
        <w:separator/>
      </w:r>
    </w:p>
  </w:footnote>
  <w:footnote w:type="continuationSeparator" w:id="0">
    <w:p w14:paraId="3B39F2BC" w14:textId="77777777" w:rsidR="00FF27E5" w:rsidRDefault="00FF27E5" w:rsidP="00D0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C2A9" w14:textId="45D738DC" w:rsidR="00D044CC" w:rsidRDefault="00D044CC">
    <w:pPr>
      <w:pStyle w:val="Koptekst"/>
    </w:pPr>
    <w:r w:rsidRPr="0057004E">
      <w:rPr>
        <w:noProof/>
        <w:lang w:eastAsia="nl-NL"/>
      </w:rPr>
      <w:drawing>
        <wp:inline distT="0" distB="0" distL="0" distR="0" wp14:anchorId="23FEA1EA" wp14:editId="7A9661C6">
          <wp:extent cx="1164547" cy="763905"/>
          <wp:effectExtent l="25400" t="0" r="0" b="0"/>
          <wp:docPr id="11" name="Afbeelding 1" descr="logo CURILION vv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RILION vvgb.png"/>
                  <pic:cNvPicPr/>
                </pic:nvPicPr>
                <pic:blipFill>
                  <a:blip r:embed="rId1"/>
                  <a:stretch>
                    <a:fillRect/>
                  </a:stretch>
                </pic:blipFill>
                <pic:spPr>
                  <a:xfrm>
                    <a:off x="0" y="0"/>
                    <a:ext cx="1165950" cy="764825"/>
                  </a:xfrm>
                  <a:prstGeom prst="rect">
                    <a:avLst/>
                  </a:prstGeom>
                </pic:spPr>
              </pic:pic>
            </a:graphicData>
          </a:graphic>
        </wp:inline>
      </w:drawing>
    </w:r>
  </w:p>
  <w:p w14:paraId="48278CF9" w14:textId="63B458AD" w:rsidR="00915A54" w:rsidRDefault="00FF27E5" w:rsidP="003421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30D"/>
    <w:multiLevelType w:val="hybridMultilevel"/>
    <w:tmpl w:val="3AB4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C21BE"/>
    <w:multiLevelType w:val="hybridMultilevel"/>
    <w:tmpl w:val="5366C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BE217C"/>
    <w:multiLevelType w:val="hybridMultilevel"/>
    <w:tmpl w:val="0032D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52"/>
    <w:rsid w:val="00041A52"/>
    <w:rsid w:val="00395C6B"/>
    <w:rsid w:val="003B7D76"/>
    <w:rsid w:val="004C69A9"/>
    <w:rsid w:val="004F6552"/>
    <w:rsid w:val="005F5CB1"/>
    <w:rsid w:val="006F6C46"/>
    <w:rsid w:val="0070095D"/>
    <w:rsid w:val="007770BE"/>
    <w:rsid w:val="008B36C0"/>
    <w:rsid w:val="00B1743A"/>
    <w:rsid w:val="00B87716"/>
    <w:rsid w:val="00D044CC"/>
    <w:rsid w:val="00FF2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BD20"/>
  <w14:defaultImageDpi w14:val="32767"/>
  <w15:chartTrackingRefBased/>
  <w15:docId w15:val="{545B4214-94EF-1F4E-9304-EAA4CE6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F6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4F6552"/>
    <w:pPr>
      <w:ind w:left="720"/>
      <w:contextualSpacing/>
    </w:pPr>
  </w:style>
  <w:style w:type="paragraph" w:styleId="Voettekst">
    <w:name w:val="footer"/>
    <w:basedOn w:val="Standaard"/>
    <w:link w:val="VoettekstChar"/>
    <w:uiPriority w:val="99"/>
    <w:unhideWhenUsed/>
    <w:rsid w:val="004F6552"/>
    <w:pPr>
      <w:tabs>
        <w:tab w:val="center" w:pos="4536"/>
        <w:tab w:val="right" w:pos="9072"/>
      </w:tabs>
    </w:pPr>
  </w:style>
  <w:style w:type="character" w:customStyle="1" w:styleId="VoettekstChar">
    <w:name w:val="Voettekst Char"/>
    <w:basedOn w:val="Standaardalinea-lettertype"/>
    <w:link w:val="Voettekst"/>
    <w:uiPriority w:val="99"/>
    <w:rsid w:val="004F6552"/>
  </w:style>
  <w:style w:type="character" w:styleId="Paginanummer">
    <w:name w:val="page number"/>
    <w:basedOn w:val="Standaardalinea-lettertype"/>
    <w:uiPriority w:val="99"/>
    <w:semiHidden/>
    <w:unhideWhenUsed/>
    <w:rsid w:val="004F6552"/>
  </w:style>
  <w:style w:type="paragraph" w:styleId="Koptekst">
    <w:name w:val="header"/>
    <w:basedOn w:val="Standaard"/>
    <w:link w:val="KoptekstChar"/>
    <w:uiPriority w:val="99"/>
    <w:unhideWhenUsed/>
    <w:rsid w:val="004F6552"/>
    <w:pPr>
      <w:tabs>
        <w:tab w:val="center" w:pos="4536"/>
        <w:tab w:val="right" w:pos="9072"/>
      </w:tabs>
    </w:pPr>
  </w:style>
  <w:style w:type="character" w:customStyle="1" w:styleId="KoptekstChar">
    <w:name w:val="Koptekst Char"/>
    <w:basedOn w:val="Standaardalinea-lettertype"/>
    <w:link w:val="Koptekst"/>
    <w:uiPriority w:val="99"/>
    <w:rsid w:val="004F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CB96B40A60748BB84AA5538C0376C" ma:contentTypeVersion="10" ma:contentTypeDescription="Een nieuw document maken." ma:contentTypeScope="" ma:versionID="4cf679817b2fd5bad9757ba53b7658cf">
  <xsd:schema xmlns:xsd="http://www.w3.org/2001/XMLSchema" xmlns:xs="http://www.w3.org/2001/XMLSchema" xmlns:p="http://schemas.microsoft.com/office/2006/metadata/properties" xmlns:ns2="992f8357-409e-43d1-80f2-2f073fffd534" targetNamespace="http://schemas.microsoft.com/office/2006/metadata/properties" ma:root="true" ma:fieldsID="b8bca5656daab38228e35298e6145fcd" ns2:_="">
    <xsd:import namespace="992f8357-409e-43d1-80f2-2f073fffd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f8357-409e-43d1-80f2-2f073fffd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265E4-1009-4A49-ADCC-E03A3460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f8357-409e-43d1-80f2-2f073fffd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67780-2C9D-4434-957F-D54FDD55A16D}">
  <ds:schemaRefs>
    <ds:schemaRef ds:uri="http://schemas.microsoft.com/sharepoint/v3/contenttype/forms"/>
  </ds:schemaRefs>
</ds:datastoreItem>
</file>

<file path=customXml/itemProps3.xml><?xml version="1.0" encoding="utf-8"?>
<ds:datastoreItem xmlns:ds="http://schemas.openxmlformats.org/officeDocument/2006/customXml" ds:itemID="{7AE87EE6-BF5C-4493-B12F-1F83086C1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Kerkhof</dc:creator>
  <cp:keywords/>
  <dc:description/>
  <cp:lastModifiedBy>S. Arends</cp:lastModifiedBy>
  <cp:revision>5</cp:revision>
  <dcterms:created xsi:type="dcterms:W3CDTF">2021-03-11T08:53:00Z</dcterms:created>
  <dcterms:modified xsi:type="dcterms:W3CDTF">2021-03-11T08:58:00Z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0x010100616CB96B40A60748BB84AA5538C0376C</vt:lpwstr>
  </property>
</Properties>
</file>